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〔2026〕苏盐狱减建字第109号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罪犯李晓东，男，1988年12月8日出生，江苏省建湖县人，汉族，初中文化，公民身份号码320925198812085175，现在江苏省盐城监狱九监区服刑。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2023年8月2日江苏省昆山市人民法院作出(2022)苏0583刑初1302号刑事判决，以罪犯李晓东犯开设赌场罪，判处有期徒刑七年(刑期自2022年9月22日起至2029年9月21日止)，并处罚金人民币十五万元，公安机关在被告人周荣、陆建平处分别扣押的现金，作为二被告人各自违法所得予以没收，继续追缴被告人陆建平及其他被告人违法所得予以没收，上缴国库。判决发生法律效力后，于2023年11月30日交付盐城监狱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李晓东在服刑期间，认罪悔罪，认真遵守法律法规及监规，接受教育改造，积极参加思想、文化、职业技术教育，积极参加劳动，努力完成劳动任务。于2024年8月、2025年1月、2025年6月、2025年12月获得表扬四次，确有悔改表现。罚金人民币十五万元，公安机关在被告人周荣、陆建平处分别扣押的现金，作为二被告人各自违法所得予以没收，继续追缴被告人陆建平及其他被告人违法所得予以没收，上缴国库；已履行财产性判项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2154元</w:t>
      </w:r>
      <w:r>
        <w:rPr>
          <w:rFonts w:hint="eastAsia" w:ascii="仿宋" w:hAnsi="仿宋" w:eastAsia="仿宋"/>
          <w:sz w:val="32"/>
          <w:szCs w:val="32"/>
          <w:lang w:eastAsia="zh-CN"/>
        </w:rPr>
        <w:t>。鉴于该犯财产性判项未全部履行，建议从严。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建议对罪犯李晓东减去有期徒刑七个月。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2026年3月23日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2026-04-01T01:17:34Z</dcterms:created>
  <dc:creator>admin</dc:creator>
  <cp:lastModifiedBy>张会(zh)</cp:lastModifiedBy>
  <dcterms:modified xsi:type="dcterms:W3CDTF">2026-04-01T01:18:12Z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