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2025〕苏盐狱减建字第314号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ascii="仿宋" w:hAnsi="仿宋" w:eastAsia="仿宋"/>
          <w:sz w:val="32"/>
          <w:szCs w:val="32"/>
        </w:rPr>
        <w:t xml:space="preserve">    罪犯殷焱，男，1995年9月1日出生，江苏省南通市海门区人，汉族，中专文化，公民身份号码320684199509010013，现在江苏省盐城监狱十二监区服刑。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2023年2月20日江苏省南通市海门区人民法院作出(2023)苏0613刑初1号刑事判决，以罪犯殷焱犯诈骗罪，判处有期徒刑十一年，并处罚金人民币十万元；犯交通肇事罪，判处有期徒刑十个月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数罪并罚，决定执行有期徒刑十一年一个月(刑期自2022年6月23日起至2033年7月22日止)，并处罚金人民币十万元，</w:t>
      </w:r>
      <w:r>
        <w:rPr>
          <w:rFonts w:hint="eastAsia" w:ascii="仿宋" w:hAnsi="仿宋" w:eastAsia="仿宋"/>
          <w:sz w:val="32"/>
          <w:szCs w:val="32"/>
        </w:rPr>
        <w:t>继续追缴</w:t>
      </w:r>
      <w:r>
        <w:rPr>
          <w:rFonts w:ascii="仿宋" w:hAnsi="仿宋" w:eastAsia="仿宋"/>
          <w:sz w:val="32"/>
          <w:szCs w:val="32"/>
        </w:rPr>
        <w:t>违法所得人民币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51.05</w:t>
      </w:r>
      <w:r>
        <w:rPr>
          <w:rFonts w:hint="eastAsia" w:ascii="仿宋" w:hAnsi="仿宋" w:eastAsia="仿宋"/>
          <w:sz w:val="32"/>
          <w:szCs w:val="32"/>
        </w:rPr>
        <w:t>万元发还</w:t>
      </w:r>
      <w:r>
        <w:rPr>
          <w:rFonts w:ascii="仿宋" w:hAnsi="仿宋" w:eastAsia="仿宋"/>
          <w:sz w:val="32"/>
          <w:szCs w:val="32"/>
        </w:rPr>
        <w:t>与被害人</w:t>
      </w:r>
      <w:r>
        <w:rPr>
          <w:rFonts w:hint="eastAsia" w:ascii="仿宋" w:hAnsi="仿宋" w:eastAsia="仿宋"/>
          <w:sz w:val="32"/>
          <w:szCs w:val="32"/>
        </w:rPr>
        <w:t>。判决发生法律效力后，于</w:t>
      </w:r>
      <w:r>
        <w:rPr>
          <w:rFonts w:ascii="仿宋" w:hAnsi="仿宋" w:eastAsia="仿宋"/>
          <w:sz w:val="32"/>
          <w:szCs w:val="32"/>
        </w:rPr>
        <w:t>2023年3月27日交付</w:t>
      </w:r>
      <w:r>
        <w:rPr>
          <w:rFonts w:hint="eastAsia" w:ascii="仿宋" w:hAnsi="仿宋" w:eastAsia="仿宋"/>
          <w:sz w:val="32"/>
          <w:szCs w:val="32"/>
        </w:rPr>
        <w:t>江苏省盐城监狱</w:t>
      </w:r>
      <w:r>
        <w:rPr>
          <w:rFonts w:ascii="仿宋" w:hAnsi="仿宋" w:eastAsia="仿宋"/>
          <w:sz w:val="32"/>
          <w:szCs w:val="32"/>
        </w:rPr>
        <w:t>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罪犯殷焱在服刑期间，</w:t>
      </w:r>
      <w:r>
        <w:rPr>
          <w:rFonts w:hint="eastAsia" w:ascii="仿宋" w:hAnsi="仿宋" w:eastAsia="仿宋"/>
          <w:sz w:val="32"/>
          <w:szCs w:val="32"/>
        </w:rPr>
        <w:t>能</w:t>
      </w:r>
      <w:r>
        <w:rPr>
          <w:rFonts w:ascii="仿宋" w:hAnsi="仿宋" w:eastAsia="仿宋"/>
          <w:sz w:val="32"/>
          <w:szCs w:val="32"/>
        </w:rPr>
        <w:t>认罪悔罪，认真遵守法律法规及监规，接受教育改造，积极参加思想、文化、职业技术教育，积极参加劳动，努力完成劳动任务。于2023年11月、2024年4月、2024年9月、2025年3月获得表扬</w:t>
      </w: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>次，确有悔改表现。罚金</w:t>
      </w:r>
      <w:r>
        <w:rPr>
          <w:rFonts w:hint="eastAsia" w:ascii="仿宋" w:hAnsi="仿宋" w:eastAsia="仿宋"/>
          <w:sz w:val="32"/>
          <w:szCs w:val="32"/>
        </w:rPr>
        <w:t>人民币十万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（未履行）</w:t>
      </w:r>
      <w:r>
        <w:rPr>
          <w:rFonts w:ascii="仿宋" w:hAnsi="仿宋" w:eastAsia="仿宋"/>
          <w:sz w:val="32"/>
          <w:szCs w:val="32"/>
        </w:rPr>
        <w:t>;</w:t>
      </w:r>
      <w:r>
        <w:rPr>
          <w:rFonts w:hint="eastAsia" w:ascii="仿宋" w:hAnsi="仿宋" w:eastAsia="仿宋"/>
          <w:sz w:val="32"/>
          <w:szCs w:val="32"/>
        </w:rPr>
        <w:t>继续追缴违法所得人民币</w:t>
      </w:r>
      <w:r>
        <w:rPr>
          <w:rFonts w:ascii="仿宋" w:hAnsi="仿宋" w:eastAsia="仿宋"/>
          <w:sz w:val="32"/>
          <w:szCs w:val="32"/>
        </w:rPr>
        <w:t>151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05</w:t>
      </w:r>
      <w:r>
        <w:rPr>
          <w:rFonts w:hint="eastAsia" w:ascii="仿宋" w:hAnsi="仿宋" w:eastAsia="仿宋"/>
          <w:sz w:val="32"/>
          <w:szCs w:val="32"/>
        </w:rPr>
        <w:t>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（已履行人民币0.2万元）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鉴于该犯财产性判项未全部履行，建议从严。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建议对罪犯殷焱减去有期徒刑七个月。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  <w:bookmarkStart w:id="10" w:name="_GoBack"/>
      <w:bookmarkEnd w:id="10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11"/>
    <w:rsid w:val="0000279A"/>
    <w:rsid w:val="002669F6"/>
    <w:rsid w:val="005D5A2B"/>
    <w:rsid w:val="009C5711"/>
    <w:rsid w:val="00F81399"/>
    <w:rsid w:val="1317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5">
    <w:name w:val="页眉 Char"/>
    <w:basedOn w:val="4"/>
    <w:link w:val="2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544</Characters>
  <Lines>4</Lines>
  <Paragraphs>1</Paragraphs>
  <TotalTime>0</TotalTime>
  <ScaleCrop>false</ScaleCrop>
  <LinksUpToDate>false</LinksUpToDate>
  <CharactersWithSpaces>638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2025-08-19T03:07:00Z</dcterms:created>
  <dc:creator>Windows 用户</dc:creator>
  <cp:lastModifiedBy>Administrator</cp:lastModifiedBy>
  <dcterms:modified xsi:type="dcterms:W3CDTF">2025-08-20T06:31:08Z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A25DAC6A70C54A4AB05E12A6EB84643A</vt:lpwstr>
  </property>
</Properties>
</file>