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bookmarkStart w:id="0" w:name="dw"/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江苏省南通女子监狱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bookmarkStart w:id="1" w:name="tqjys"/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提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请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减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刑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建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议</w:t>
      </w:r>
      <w:r>
        <w:rPr>
          <w:rFonts w:hint="default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书</w:t>
      </w:r>
      <w:bookmarkEnd w:id="1"/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right"/>
        <w:rPr>
          <w:rFonts w:hint="eastAsia" w:ascii="仿宋" w:hAnsi="仿宋" w:eastAsia="仿宋" w:cs="仿宋"/>
          <w:bCs/>
          <w:sz w:val="32"/>
          <w:szCs w:val="32"/>
          <w:lang w:val="en-US"/>
        </w:rPr>
      </w:pPr>
      <w:bookmarkStart w:id="2" w:name="jyzh"/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"/>
        </w:rPr>
        <w:t>〔2024〕苏通女狱减建字第221号</w:t>
      </w:r>
      <w:bookmarkEnd w:id="2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罪犯陈以先，女，1985年1月24日出生，重庆市綦江区人，汉族，小学肄业，公民身份号码500222198501245449，现在江苏省南通女子监狱三监区服刑。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2020年11月24日江苏省南京市玄武区人民法院作出(2020)苏0102刑初226号刑事判决，以罪犯陈以先犯贩卖、运输毒品罪，判处有期徒刑十五年(刑期自2020年1月18日起至2035年1月17日止)，并处没收财产人民币5万元，追缴违法所得人民币6万元，予以没收，上缴国库。判决发生法律效力后，于2021年3月19日交付执行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罪犯陈以先自入监以来，能做到认罪悔罪，认真遵守法律法规，曾因违反监管改造规范被考核，经民警批评教育后，能认识到自身错误，不断增强遵规守纪意识，接受教育改造，积极参加思想、文化、职业技术教育，日常劳动中，曾因违反安</w:t>
      </w:r>
      <w:bookmarkStart w:id="10" w:name="_GoBack"/>
      <w:bookmarkEnd w:id="1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全操作规程被考核，经民警教育后，能遵守劳动纪律，增强安全意识，积极参加劳动，努力完成劳动任务。该犯于2021年12月、2022年6月、2023年5月、2023年11月、2024年4月共获得表扬5次，确有悔改表现。2023年3月6日江苏省南京市玄武区人民法院作出（2023）苏0102执313号之二执行裁定书，终结对陈以先没收财产人民币5万元和追缴违法所得人民币6万元的本次执行程序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</w:t>
      </w:r>
      <w:bookmarkStart w:id="5" w:name="zfnr2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建议对罪犯陈以先减去有期徒刑七个月。</w:t>
      </w:r>
      <w:bookmarkEnd w:id="5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特提请审核裁定。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此致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6" w:name="rmfy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江苏省南通市中级人民法院</w:t>
      </w:r>
      <w:bookmarkEnd w:id="6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7" w:name="dw1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江苏省南通女子监狱</w:t>
      </w:r>
      <w:bookmarkEnd w:id="7"/>
    </w:p>
    <w:p>
      <w:pPr>
        <w:keepNext w:val="0"/>
        <w:keepLines w:val="0"/>
        <w:widowControl w:val="0"/>
        <w:suppressLineNumbers w:val="0"/>
        <w:tabs>
          <w:tab w:val="left" w:pos="6480"/>
          <w:tab w:val="left" w:pos="7605"/>
        </w:tabs>
        <w:spacing w:before="0" w:beforeAutospacing="0" w:after="0" w:afterAutospacing="0" w:line="360" w:lineRule="auto"/>
        <w:ind w:left="0" w:right="0" w:firstLine="800" w:firstLineChars="250"/>
        <w:jc w:val="right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8" w:name="rq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2024年9月18日</w:t>
      </w:r>
      <w:bookmarkEnd w:id="8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</w:t>
      </w:r>
      <w:bookmarkStart w:id="9" w:name="hhf"/>
      <w:bookmarkEnd w:id="9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135" w:right="1135" w:bottom="851" w:left="1135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页眉 Char"/>
    <w:basedOn w:val="4"/>
    <w:link w:val="2"/>
    <w:uiPriority w:val="0"/>
    <w:rPr>
      <w:sz w:val="18"/>
      <w:szCs w:val="18"/>
    </w:rPr>
  </w:style>
  <w:style w:type="character" w:customStyle="1" w:styleId="6">
    <w:name w:val="页眉 Char1"/>
    <w:basedOn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2024-09-20T11:34:12Z</dcterms:created>
  <dc:creator>Administrator</dc:creator>
  <cp:lastModifiedBy>Administrator</cp:lastModifiedBy>
  <dcterms:modified xsi:type="dcterms:W3CDTF">2024-09-20T11:34:20Z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